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4"/>
        <w:tblW w:w="9975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160"/>
        <w:gridCol w:w="4814"/>
      </w:tblGrid>
      <w:tr>
        <w:trPr/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280" w:leader="none"/>
              </w:tabs>
              <w:spacing w:lineRule="atLeast" w:line="28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СОГЛАСОВАНО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80" w:leader="none"/>
              </w:tabs>
              <w:spacing w:lineRule="atLeast" w:line="28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с профсоюзным комитетом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80" w:leader="none"/>
              </w:tabs>
              <w:spacing w:lineRule="atLeast" w:line="28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МАДОУ Центр развития ребенка –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80" w:leader="none"/>
              </w:tabs>
              <w:spacing w:lineRule="atLeast" w:line="28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bookmarkStart w:id="0" w:name="_GoBack111"/>
            <w:bookmarkEnd w:id="0"/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детский сад №10 «Ляйсан» г.Дюртюли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80" w:leader="none"/>
              </w:tabs>
              <w:spacing w:lineRule="atLeast" w:line="28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 xml:space="preserve">протокол № </w:t>
            </w: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2  от 24.02.2022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sz w:val="26"/>
                <w:szCs w:val="26"/>
                <w:lang w:eastAsia="ru-RU"/>
              </w:rPr>
              <w:t>УТВЕРЖДЕНО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sz w:val="26"/>
                <w:szCs w:val="26"/>
                <w:lang w:eastAsia="ru-RU"/>
              </w:rPr>
              <w:t xml:space="preserve">Приказом заведующего  </w:t>
            </w:r>
            <w:r>
              <w:rPr>
                <w:rFonts w:eastAsia="Times New Roman" w:ascii="Times New Roman" w:hAnsi="Times New Roman"/>
                <w:spacing w:val="-4"/>
                <w:sz w:val="26"/>
                <w:szCs w:val="26"/>
                <w:lang w:eastAsia="ru-RU"/>
              </w:rPr>
              <w:t>МАДОУ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spacing w:val="-4"/>
                <w:sz w:val="26"/>
                <w:szCs w:val="26"/>
                <w:lang w:eastAsia="ru-RU"/>
              </w:rPr>
              <w:t>Центр развития ребенка -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sz w:val="26"/>
                <w:szCs w:val="26"/>
                <w:lang w:eastAsia="ru-RU"/>
              </w:rPr>
              <w:t>детский сад № 10«Ляйсан» г.Дюртюли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sz w:val="26"/>
                <w:szCs w:val="26"/>
                <w:lang w:eastAsia="ru-RU"/>
              </w:rPr>
              <w:t xml:space="preserve">от  </w:t>
            </w:r>
            <w:r>
              <w:rPr>
                <w:rFonts w:eastAsia="Times New Roman" w:ascii="Times New Roman" w:hAnsi="Times New Roman"/>
                <w:sz w:val="26"/>
                <w:szCs w:val="26"/>
                <w:lang w:eastAsia="ru-RU"/>
              </w:rPr>
              <w:t>24.02.2022  №50</w:t>
            </w:r>
          </w:p>
        </w:tc>
      </w:tr>
    </w:tbl>
    <w:p>
      <w:pPr>
        <w:pStyle w:val="Normal"/>
        <w:ind w:firstLine="85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ind w:firstLine="851"/>
        <w:jc w:val="center"/>
        <w:rPr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Положение об уполномоченном  лице по охране труда профессионального союза муниципального автономного дошкольного образовательного учреждения Центр развития ребенка – детский сад № 10 «Ляйсан» города Дюртюли муниципального района Дюртюлинский район Республики Башкортостан</w:t>
      </w:r>
    </w:p>
    <w:p>
      <w:pPr>
        <w:pStyle w:val="Normal"/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1. Общие положения</w:t>
      </w:r>
    </w:p>
    <w:p>
      <w:pPr>
        <w:pStyle w:val="Normal"/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1.1. Положение об уполномоченном лице по охране труда профессионального союза муниципального автономного дошкольного образовательного учреждения Центр развития ребенка – детский сад №10 «Ляйсан» города Дюртюли муниципального района Дюртюлинский район Республики Башкортостан (далее – Положение, образовательная организация) разработано в соответствии со статьей 370 Трудового кодекса Российской Федерации, в соответствии с Федеральным законом «О профессиональных союзах, их правах и гарантиях деятельности», Федеральным законом «Об образовании в Российской Федерации» и Уставом Профсоюза работников народного образования и науки РФ и определяет основные направления деятельности, права и обязанности уполномоченного  лица по охране труда профессионального союза (далее - уполномоченный) по осуществлению профсоюзного контроля за соблюдением требований охраны труда в образовательной организации.</w:t>
      </w:r>
    </w:p>
    <w:p>
      <w:pPr>
        <w:pStyle w:val="Normal"/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1.2. Уполномоченный в своей деятельности руководствуется требованиями охраны труда, настоящим Положением, постановлениями (решениями) первичной профсоюзной организации и ее выборных органов, коллективным договором и (или) соглашением, локальными нормативными актами по охране труда.</w:t>
      </w:r>
    </w:p>
    <w:p>
      <w:pPr>
        <w:pStyle w:val="Normal"/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1.3. Уполномоченный является членом Профсоюза и не занимает должность, в соответствии с которой несет ответственность за состояние условий и охраны труда в образовательной организации.</w:t>
      </w:r>
    </w:p>
    <w:p>
      <w:pPr>
        <w:pStyle w:val="Normal"/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1.4.Уполномоченный является представителем профсоюзного комитета образовательной организации.</w:t>
      </w:r>
    </w:p>
    <w:p>
      <w:pPr>
        <w:pStyle w:val="Normal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1.5. Уполномоченный избирается открытым голосованием на общем профсоюзном собрании работников образовательной организации на срок полномочий выборного профсоюзного органа.</w:t>
      </w:r>
    </w:p>
    <w:p>
      <w:pPr>
        <w:pStyle w:val="Normal"/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1.6. Избрание уполномоченного подтверждается протоколом профсоюзного собрания.</w:t>
      </w:r>
    </w:p>
    <w:p>
      <w:pPr>
        <w:pStyle w:val="Normal"/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Уполномоченному выдается соответствующее удостоверение (приложение 1).</w:t>
      </w:r>
    </w:p>
    <w:p>
      <w:pPr>
        <w:pStyle w:val="Normal"/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1.7. Уполномоченный осуществляет свою деятельность во взаимодействии с заведующим и иными должностными лицами организации, специалистом по охране труда, комиссией по охране труда, территориальными органами федеральных органов исполнительной власти, уполномоченных на проведение надзора и контроля.</w:t>
      </w:r>
    </w:p>
    <w:p>
      <w:pPr>
        <w:pStyle w:val="Normal"/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1.8. Уполномоченный представляет профсоюзную сторону в комиссии по охране труда.</w:t>
      </w:r>
    </w:p>
    <w:p>
      <w:pPr>
        <w:pStyle w:val="Normal"/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1.9. Уполномоченный по охране труда периодически отчитывается о своей работе на общем профсоюзном собрании или на заседании выборного органа первичной профсоюзной организации не реже одного раза в год.</w:t>
      </w:r>
    </w:p>
    <w:p>
      <w:pPr>
        <w:pStyle w:val="Normal"/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1.10. По решению профсоюзного собрания или выборного органа первичной профсоюзной организации уполномоченный может быть отозван до истечения срока действия своих полномочий, если он не выполняет возложенные на него функции по защите прав и интересов работников на безопасные условия труда.</w:t>
      </w:r>
    </w:p>
    <w:p>
      <w:pPr>
        <w:pStyle w:val="Normal"/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1.11. Выборный орган первичной профсоюзной организации и заведующий (должностное лицо) оказывают необходимую помощь и поддержку уполномоченному по выполнению возложенных на него обязанностей.</w:t>
      </w:r>
    </w:p>
    <w:p>
      <w:pPr>
        <w:pStyle w:val="Normal"/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2. Задачи уполномоченного</w:t>
      </w:r>
    </w:p>
    <w:p>
      <w:pPr>
        <w:pStyle w:val="Normal"/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Задачами уполномоченного являются:</w:t>
      </w:r>
    </w:p>
    <w:p>
      <w:pPr>
        <w:pStyle w:val="Normal"/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2.1. Содействие созданию в организации здоровых и безопасных условий труда, соответствующих требованиям инструкций, норм и правил по охране труда.</w:t>
      </w:r>
    </w:p>
    <w:p>
      <w:pPr>
        <w:pStyle w:val="Normal"/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2.2. Осуществление в организации контроля в форме обследования и (или) наблюдения за состоянием условий и охраны труда на рабочих местах.</w:t>
      </w:r>
    </w:p>
    <w:p>
      <w:pPr>
        <w:pStyle w:val="Normal"/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2.3. Подготовка предложений заведующему (должностному лицу) по улучшению условий и охраны труда на рабочих местах на основе проводимого анализа.</w:t>
      </w:r>
    </w:p>
    <w:p>
      <w:pPr>
        <w:pStyle w:val="Normal"/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2.4. Представление интересов работников при рассмотрении трудовых споров по вопросам, связанным с обязанностями организации по обеспечению безопасных условий и охраны труда и правами работника на труд, в условиях, отвечающих требованиям охраны труда.</w:t>
      </w:r>
    </w:p>
    <w:p>
      <w:pPr>
        <w:pStyle w:val="Normal"/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2.5. Информирование и консультирование по вопросам их прав и гарантий на безопасный и здоровый труд.</w:t>
      </w:r>
    </w:p>
    <w:p>
      <w:pPr>
        <w:pStyle w:val="Normal"/>
        <w:spacing w:before="0" w:after="29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3. Уполномоченный имеет следующие права и обязанности:</w:t>
      </w:r>
    </w:p>
    <w:p>
      <w:pPr>
        <w:pStyle w:val="Normal"/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3.1. Проводить общественный (профсоюзный) контроль в образовательной организации по соблюдению государственных требований по охране труда, локальных актов по охране труда в форме обследований, проверок единолично или в составе комиссий за:</w:t>
      </w:r>
    </w:p>
    <w:p>
      <w:pPr>
        <w:pStyle w:val="Normal"/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3.1.1 соблюдением заведующим и должностными лицами  требований охраны труда на рабочих местах, норм законодательства о рабочем времени и времени отдыха, предоставлением компенсаций работникам, занятым на тяжелых работах, работах с вредными и (или) опасными условиями труда;</w:t>
      </w:r>
    </w:p>
    <w:p>
      <w:pPr>
        <w:pStyle w:val="Normal"/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3.1.2 своевременным сообщением заведующему  о происшедших несчастных случаях, фактах выявления профессиональных заболеваний работников; </w:t>
      </w:r>
    </w:p>
    <w:p>
      <w:pPr>
        <w:pStyle w:val="Normal"/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3.1.3 соблюдением работниками норм, правил и инструкций по охране труда на рабочих местах;</w:t>
      </w:r>
    </w:p>
    <w:p>
      <w:pPr>
        <w:pStyle w:val="Normal"/>
        <w:tabs>
          <w:tab w:val="clear" w:pos="708"/>
          <w:tab w:val="right" w:pos="9214" w:leader="none"/>
        </w:tabs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3.1.4 обследованием технического состояния зданий, сооружений, оборудования, машин и механизмов на соответствие требованиям их безопасной эксплуатации, а также наличие и комплектность средств пожаротушения, содержания и состояния путей эвакуации;</w:t>
      </w:r>
    </w:p>
    <w:p>
      <w:pPr>
        <w:pStyle w:val="Normal"/>
        <w:tabs>
          <w:tab w:val="clear" w:pos="708"/>
          <w:tab w:val="right" w:pos="9214" w:leader="none"/>
        </w:tabs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3.1.5 проверками систем освещения, отопления, вентиляции и кондиционирования;</w:t>
      </w:r>
    </w:p>
    <w:p>
      <w:pPr>
        <w:pStyle w:val="Normal"/>
        <w:tabs>
          <w:tab w:val="clear" w:pos="708"/>
          <w:tab w:val="right" w:pos="9214" w:leader="none"/>
        </w:tabs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3.1.6  обеспечением работников специальной одеждой, специальной обувью и другими средствами индивидуальной защиты в соответствии с нормами, необходимыми по условиям труда;</w:t>
      </w:r>
    </w:p>
    <w:p>
      <w:pPr>
        <w:pStyle w:val="Normal"/>
        <w:tabs>
          <w:tab w:val="clear" w:pos="708"/>
          <w:tab w:val="right" w:pos="9214" w:leader="none"/>
        </w:tabs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3.1.7 содержанием санитарно-бытовых помещений и исправностью санитарно-технического оборудования;</w:t>
      </w:r>
    </w:p>
    <w:p>
      <w:pPr>
        <w:pStyle w:val="Normal"/>
        <w:tabs>
          <w:tab w:val="clear" w:pos="708"/>
          <w:tab w:val="right" w:pos="9214" w:leader="none"/>
        </w:tabs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3.1.8 предварительными при поступлении на работу и периодическими медицинскими осмотрами и соблюдением медицинских рекомендаций при трудоустройстве;</w:t>
      </w:r>
    </w:p>
    <w:p>
      <w:pPr>
        <w:pStyle w:val="Normal"/>
        <w:tabs>
          <w:tab w:val="clear" w:pos="708"/>
          <w:tab w:val="right" w:pos="9214" w:leader="none"/>
        </w:tabs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3.1.9 своевременным и регулярным обновлением информации на стендах и в уголках по охране труда.</w:t>
      </w:r>
    </w:p>
    <w:p>
      <w:pPr>
        <w:pStyle w:val="Normal"/>
        <w:tabs>
          <w:tab w:val="clear" w:pos="708"/>
          <w:tab w:val="right" w:pos="9214" w:leader="none"/>
        </w:tabs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3.2. Выдавать заведующему и должностным лицам обязательные к рассмотрению представления об устранении выявленных нарушений законодательства об охране труда (Приложение 2).</w:t>
      </w:r>
    </w:p>
    <w:p>
      <w:pPr>
        <w:pStyle w:val="Normal"/>
        <w:tabs>
          <w:tab w:val="clear" w:pos="708"/>
          <w:tab w:val="right" w:pos="9214" w:leader="none"/>
        </w:tabs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3.3. Получать от заведующего информацию о состоянии условий и охраны труда, производственного травматизма и фактах выявленных профессиональных заболеваний, обязательного социального страхования работников.</w:t>
      </w:r>
    </w:p>
    <w:p>
      <w:pPr>
        <w:pStyle w:val="Normal"/>
        <w:tabs>
          <w:tab w:val="clear" w:pos="708"/>
          <w:tab w:val="right" w:pos="9214" w:leader="none"/>
        </w:tabs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3.4. Принимать участие в комиссии по расследованию  случаев, выявлении фактов профессиональных заболеваний с целью защиты прав работников на возмещение вреда, причиненного их здоровью.</w:t>
      </w:r>
    </w:p>
    <w:p>
      <w:pPr>
        <w:pStyle w:val="Normal"/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3.5. Предъявлять требования к заведующему и должностным лицам о приостановке работ в случаях непосредственной угрозы жизни и здоровья работников.</w:t>
      </w:r>
    </w:p>
    <w:p>
      <w:pPr>
        <w:pStyle w:val="Normal"/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3.6. Осуществлять контроль за выполнением заведующим мероприятий по охране труда коллективного договора, соглашения по охране труда, а также мероприятий по результатам проведения аттестации рабочих мест и расследования несчастных случаев на производстве.</w:t>
      </w:r>
    </w:p>
    <w:p>
      <w:pPr>
        <w:pStyle w:val="Normal"/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3.7. Обращаться к руководителю и в профсоюзный комитет образовательной организации, в техническую инспекцию труда Профсоюза, в территориальную государственную инспекцию труда с предложениями о привлечении к ответственности должностных лиц, ответственных за нарушения требований законодательства об охране труда.</w:t>
      </w:r>
    </w:p>
    <w:p>
      <w:pPr>
        <w:pStyle w:val="Normal"/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3.8. Принимать участие в рассмотрении трудовых споров, связанных с нарушением законодательства об охране труда, выполнения работодателем обязательств (мероприятий) коллективного договора и соглашения по охране труда, изменениями условий труда.</w:t>
      </w:r>
    </w:p>
    <w:p>
      <w:pPr>
        <w:pStyle w:val="Normal"/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3.9. Участвовать в разработке мероприятий коллективного договора и соглашения по охране труда.</w:t>
      </w:r>
    </w:p>
    <w:p>
      <w:pPr>
        <w:pStyle w:val="Normal"/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3.10. Информировать работников образовательной организации о выявленных нарушениях требований безопасности, состояния условий и охраны труда и принятых мерах по их устранению.</w:t>
      </w:r>
    </w:p>
    <w:p>
      <w:pPr>
        <w:pStyle w:val="Normal"/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3.11. Принимать участие в работе комиссий по испытаниям и в эксплуатацию оборудования, в том числе учебного и лабораторного, защитных устройств, а также по приемке учебных и вспомогательных объектов образовательной организации к новому учебному году.</w:t>
      </w:r>
    </w:p>
    <w:p>
      <w:pPr>
        <w:pStyle w:val="Normal"/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3.12. Принимать участие в рассмотрении вопросов финансирования мероприятий по охране труда в образовательной организации, обязательного социального страхования от несчастных случаев на производстве и профессиональных заболеваний, а также осуществление контроля за расходованием средств организации и Фонда социального страхования Российской Федерации (страховщика), направляемых на предупредительные меры по сокращению производственного травматизма и профессиональных заболеваний.</w:t>
      </w:r>
    </w:p>
    <w:p>
      <w:pPr>
        <w:pStyle w:val="Normal"/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3.13. Принимать участие в работе аттестационной комиссии по проведению аттестации рабочих мест по условиям труда в образовательной организации.</w:t>
      </w:r>
    </w:p>
    <w:p>
      <w:pPr>
        <w:pStyle w:val="Normal"/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3.14. Направлять в адрес заведующего и в профсоюзный комитет предложения по проектам локальных нормативных правовых актов об охране труда.</w:t>
      </w:r>
    </w:p>
    <w:p>
      <w:pPr>
        <w:pStyle w:val="Normal"/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3.15. Проходить обучение по охране труда и проверку знания требований охраны труда в соответствии с Порядком, установленным федеральным органом исполнительной власти, осуществляющим функции по выработке государственной политики и нормативно-правовому регулированию по охране труда.</w:t>
      </w:r>
    </w:p>
    <w:p>
      <w:pPr>
        <w:pStyle w:val="Normal"/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4. Обеспечение деятельности уполномоченного</w:t>
      </w:r>
    </w:p>
    <w:p>
      <w:pPr>
        <w:pStyle w:val="Normal"/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5.1. Обеспечение условий деятельности уполномоченного (освобождение от основной работы на период выполнения возложенных на него обязанностей, прохождения обучения, обеспечение необходимой справочной литературой, предоставление помещения для хранения и работы с документами и др.) устанавливается коллективным договором, локальным нормативным актом организации.</w:t>
      </w:r>
    </w:p>
    <w:p>
      <w:pPr>
        <w:pStyle w:val="Normal"/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5.2. Уполномоченному выдается установленного образца удостоверение.</w:t>
      </w:r>
    </w:p>
    <w:p>
      <w:pPr>
        <w:pStyle w:val="Normal"/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5.3. Уполномоченный проходит обучение за счет средств Фонда социального страхования Российской Федерации (страховщика) в соответствии с порядком, установленным федеральным органом исполнительной власти, осуществляющим функции по нормативно-правовому регулированию в сфере труда, по направлению работодателя в образовательных центрах по охране труда, а также проходит обучение за счет средств работодателя по отраслевым программам.</w:t>
      </w:r>
    </w:p>
    <w:p>
      <w:pPr>
        <w:pStyle w:val="Normal"/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5.4. В соответствии с коллективным договором, локальным нормативным актом организации уполномоченному могут устанавливаться социальные гарантии, предусмотренные  статьями 25, 26 и 27 Федерального закона "О профессиональных союзах, их правах и гарантиях деятельности".</w:t>
      </w:r>
    </w:p>
    <w:p>
      <w:pPr>
        <w:pStyle w:val="Normal"/>
        <w:spacing w:before="0" w:after="0"/>
        <w:ind w:firstLine="85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5.5. За активную и добросовестную работу по предупреждению несчастных случаев и профессиональных заболеваний в организации, улучшению условий труда на рабочих местах уполномоченный может быть материально и морально поощрен.</w:t>
      </w:r>
    </w:p>
    <w:p>
      <w:pPr>
        <w:pStyle w:val="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6"/>
          <w:szCs w:val="26"/>
        </w:rPr>
        <w:t>5.6. Заведующий и должностные лица несут ответственность за нарушение прав уполномоченного или воспрепятствование его законной деятельности в порядке, установленном законодательством.</w:t>
      </w:r>
    </w:p>
    <w:p>
      <w:pPr>
        <w:pStyle w:val="Normal"/>
        <w:spacing w:lineRule="auto" w:line="240" w:before="0" w:after="0"/>
        <w:ind w:hanging="0"/>
        <w:jc w:val="both"/>
        <w:rPr>
          <w:sz w:val="26"/>
          <w:szCs w:val="26"/>
        </w:rPr>
      </w:pPr>
      <w:r>
        <w:rPr>
          <w:rFonts w:eastAsia="Times New Roman" w:cs="Times New Roman" w:ascii="Times New Roman" w:hAnsi="Times New Roman"/>
          <w:bCs/>
          <w:color w:val="2E2E2E"/>
          <w:sz w:val="26"/>
          <w:szCs w:val="26"/>
          <w:lang w:eastAsia="ru-RU"/>
        </w:rPr>
        <w:tab/>
        <w:tab/>
        <w:tab/>
        <w:tab/>
        <w:tab/>
        <w:tab/>
        <w:t xml:space="preserve">  ПРИНЯТО</w:t>
      </w:r>
    </w:p>
    <w:p>
      <w:pPr>
        <w:pStyle w:val="Normal"/>
        <w:spacing w:lineRule="auto" w:line="240" w:before="0" w:after="0"/>
        <w:ind w:hanging="0" w:left="4395"/>
        <w:jc w:val="both"/>
        <w:rPr>
          <w:sz w:val="26"/>
          <w:szCs w:val="26"/>
        </w:rPr>
      </w:pPr>
      <w:r>
        <w:rPr>
          <w:rFonts w:eastAsia="Times New Roman" w:cs="Times New Roman" w:ascii="Times New Roman" w:hAnsi="Times New Roman"/>
          <w:bCs/>
          <w:color w:val="2E2E2E"/>
          <w:sz w:val="26"/>
          <w:szCs w:val="26"/>
          <w:lang w:eastAsia="ru-RU"/>
        </w:rPr>
        <w:t>общим собранием</w:t>
      </w:r>
    </w:p>
    <w:p>
      <w:pPr>
        <w:pStyle w:val="Normal"/>
        <w:spacing w:lineRule="auto" w:line="240" w:before="0" w:after="0"/>
        <w:ind w:hanging="0" w:left="4395"/>
        <w:jc w:val="both"/>
        <w:rPr>
          <w:sz w:val="26"/>
          <w:szCs w:val="26"/>
        </w:rPr>
      </w:pPr>
      <w:r>
        <w:rPr>
          <w:rFonts w:eastAsia="Times New Roman" w:cs="Times New Roman" w:ascii="Times New Roman" w:hAnsi="Times New Roman"/>
          <w:bCs/>
          <w:color w:val="2E2E2E"/>
          <w:sz w:val="26"/>
          <w:szCs w:val="26"/>
          <w:lang w:eastAsia="ru-RU"/>
        </w:rPr>
        <w:t xml:space="preserve">МАДОУ Центр развития ребенка – </w:t>
      </w:r>
    </w:p>
    <w:p>
      <w:pPr>
        <w:pStyle w:val="Normal"/>
        <w:spacing w:lineRule="auto" w:line="240" w:before="0" w:after="0"/>
        <w:ind w:hanging="0" w:left="4395"/>
        <w:jc w:val="both"/>
        <w:rPr>
          <w:sz w:val="26"/>
          <w:szCs w:val="26"/>
        </w:rPr>
      </w:pPr>
      <w:r>
        <w:rPr>
          <w:rFonts w:eastAsia="Times New Roman" w:cs="Times New Roman" w:ascii="Times New Roman" w:hAnsi="Times New Roman"/>
          <w:bCs/>
          <w:color w:val="2E2E2E"/>
          <w:sz w:val="26"/>
          <w:szCs w:val="26"/>
          <w:lang w:eastAsia="ru-RU"/>
        </w:rPr>
        <w:t>детский сад № 10 «Ляйсан» г.Дюртюли</w:t>
      </w:r>
    </w:p>
    <w:p>
      <w:pPr>
        <w:pStyle w:val="Normal"/>
        <w:spacing w:lineRule="auto" w:line="240" w:before="0" w:after="0"/>
        <w:ind w:hanging="0" w:left="4395"/>
        <w:jc w:val="both"/>
        <w:rPr/>
      </w:pPr>
      <w:r>
        <w:rPr>
          <w:rFonts w:eastAsia="Times New Roman" w:cs="Times New Roman" w:ascii="Times New Roman" w:hAnsi="Times New Roman"/>
          <w:bCs/>
          <w:color w:val="2E2E2E"/>
          <w:sz w:val="26"/>
          <w:szCs w:val="26"/>
          <w:lang w:eastAsia="ru-RU"/>
        </w:rPr>
        <w:t>протокол №____ от «___»________20___г.</w:t>
      </w:r>
    </w:p>
    <w:p>
      <w:pPr>
        <w:pStyle w:val="Normal"/>
        <w:spacing w:lineRule="auto" w:line="240" w:before="0" w:after="0"/>
        <w:ind w:hanging="0" w:left="4395"/>
        <w:jc w:val="right"/>
        <w:rPr/>
      </w:pPr>
      <w:r>
        <w:rPr>
          <w:rFonts w:eastAsia="" w:cs="Times New Roman" w:ascii="Times New Roman" w:hAnsi="Times New Roman" w:eastAsiaTheme="minorEastAsia"/>
          <w:i w:val="false"/>
          <w:iCs w:val="false"/>
          <w:sz w:val="24"/>
          <w:szCs w:val="24"/>
          <w:lang w:eastAsia="ru-RU"/>
        </w:rPr>
        <w:t>Приложение № 1</w:t>
      </w:r>
    </w:p>
    <w:p>
      <w:pPr>
        <w:pStyle w:val="Normal"/>
        <w:widowControl w:val="false"/>
        <w:spacing w:lineRule="auto" w:line="240" w:before="0" w:after="0"/>
        <w:jc w:val="right"/>
        <w:rPr>
          <w:i w:val="false"/>
          <w:i w:val="false"/>
          <w:iCs w:val="false"/>
        </w:rPr>
      </w:pPr>
      <w:r>
        <w:rPr>
          <w:rFonts w:eastAsia="" w:cs="Times New Roman" w:ascii="Times New Roman" w:hAnsi="Times New Roman" w:eastAsiaTheme="minorEastAsia"/>
          <w:i w:val="false"/>
          <w:iCs w:val="false"/>
          <w:sz w:val="24"/>
          <w:szCs w:val="24"/>
          <w:lang w:eastAsia="ru-RU"/>
        </w:rPr>
        <w:t xml:space="preserve">к Положению об уполномоченном лице по охране труда профессионального союза муниципального автономного дошкольного образовательного учреждения Центр развития ребенка – детский сад №10 «Ляйсан» города Дюртюли муниципального района </w:t>
      </w:r>
    </w:p>
    <w:p>
      <w:pPr>
        <w:pStyle w:val="Normal"/>
        <w:widowControl w:val="false"/>
        <w:spacing w:lineRule="auto" w:line="240" w:before="0" w:after="0"/>
        <w:jc w:val="right"/>
        <w:rPr>
          <w:i w:val="false"/>
          <w:i w:val="false"/>
          <w:iCs w:val="false"/>
        </w:rPr>
      </w:pPr>
      <w:r>
        <w:rPr>
          <w:rFonts w:eastAsia="" w:cs="Times New Roman" w:ascii="Times New Roman" w:hAnsi="Times New Roman" w:eastAsiaTheme="minorEastAsia"/>
          <w:i w:val="false"/>
          <w:iCs w:val="false"/>
          <w:sz w:val="24"/>
          <w:szCs w:val="24"/>
          <w:lang w:eastAsia="ru-RU"/>
        </w:rPr>
        <w:t>Дюртюлинский район Республики Башкортостан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" w:cs="Times New Roman" w:eastAsiaTheme="minorEastAsia"/>
          <w:sz w:val="24"/>
          <w:szCs w:val="24"/>
          <w:lang w:eastAsia="ru-RU"/>
        </w:rPr>
      </w:pPr>
      <w:r>
        <w:rPr>
          <w:rFonts w:eastAsia="" w:cs="Times New Roman" w:eastAsiaTheme="minorEastAsia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480"/>
        <w:textAlignment w:val="baseline"/>
        <w:rPr>
          <w:rFonts w:ascii="Arial" w:hAnsi="Arial" w:eastAsia="Times New Roman" w:cs="Arial"/>
          <w:color w:val="444444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444444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" w:cs="Times New Roman" w:eastAsiaTheme="minorEastAsia"/>
          <w:i/>
          <w:i/>
          <w:iCs/>
          <w:sz w:val="24"/>
          <w:szCs w:val="24"/>
          <w:lang w:eastAsia="ru-RU"/>
        </w:rPr>
      </w:pPr>
      <w:r>
        <w:rPr>
          <w:rFonts w:eastAsia="" w:cs="Times New Roman" w:eastAsiaTheme="minorEastAsia" w:ascii="Times New Roman" w:hAnsi="Times New Roman"/>
          <w:i/>
          <w:iCs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240"/>
        <w:jc w:val="center"/>
        <w:textAlignment w:val="baseline"/>
        <w:rPr>
          <w:rFonts w:ascii="Arial" w:hAnsi="Arial" w:eastAsia="Times New Roman" w:cs="Arial"/>
          <w:b/>
          <w:bCs/>
          <w:sz w:val="24"/>
          <w:szCs w:val="24"/>
          <w:lang w:eastAsia="ru-RU"/>
        </w:rPr>
      </w:pP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УДОСТОВЕРЕНИЕ</w:t>
        <w:br/>
        <w:t>уполномоченного (доверенного) лица по охране труда профессионального союза</w:t>
      </w:r>
    </w:p>
    <w:p>
      <w:pPr>
        <w:pStyle w:val="Normal"/>
        <w:shd w:val="clear" w:color="auto" w:fill="FFFFFF"/>
        <w:spacing w:lineRule="auto" w:line="240" w:before="0" w:after="0"/>
        <w:ind w:firstLine="480"/>
        <w:jc w:val="center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tbl>
      <w:tblPr>
        <w:tblW w:w="991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395"/>
        <w:gridCol w:w="520"/>
        <w:gridCol w:w="531"/>
        <w:gridCol w:w="1316"/>
        <w:gridCol w:w="712"/>
        <w:gridCol w:w="361"/>
        <w:gridCol w:w="6079"/>
      </w:tblGrid>
      <w:tr>
        <w:trPr>
          <w:trHeight w:val="15" w:hRule="exact"/>
        </w:trPr>
        <w:tc>
          <w:tcPr>
            <w:tcW w:w="9914" w:type="dxa"/>
            <w:gridSpan w:val="7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"/>
                <w:szCs w:val="24"/>
                <w:lang w:eastAsia="ru-RU"/>
              </w:rPr>
            </w:r>
          </w:p>
        </w:tc>
      </w:tr>
      <w:tr>
        <w:trPr/>
        <w:tc>
          <w:tcPr>
            <w:tcW w:w="9914" w:type="dxa"/>
            <w:gridSpan w:val="7"/>
            <w:tcBorders/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jc w:val="right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ВНУТРЕННЯЯ СТОРОНА, ЛЕВАЯ ЧАСТЬ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firstLine="48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МАДОУ Центр развития ребенка — детский сад № 10 «Ляйсан» г.Дюртюли</w:t>
            </w:r>
          </w:p>
        </w:tc>
      </w:tr>
      <w:tr>
        <w:trPr/>
        <w:tc>
          <w:tcPr>
            <w:tcW w:w="9914" w:type="dxa"/>
            <w:gridSpan w:val="7"/>
            <w:tcBorders>
              <w:bottom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914" w:type="dxa"/>
            <w:gridSpan w:val="7"/>
            <w:tcBorders>
              <w:top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(наименование предприятия, учреждения, организации)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914" w:type="dxa"/>
            <w:gridSpan w:val="7"/>
            <w:tcBorders>
              <w:bottom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914" w:type="dxa"/>
            <w:gridSpan w:val="7"/>
            <w:tcBorders>
              <w:top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(фамилия, имя, отчество)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914" w:type="dxa"/>
            <w:gridSpan w:val="7"/>
            <w:tcBorders>
              <w:bottom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914" w:type="dxa"/>
            <w:gridSpan w:val="7"/>
            <w:tcBorders>
              <w:top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914" w:type="dxa"/>
            <w:gridSpan w:val="7"/>
            <w:tcBorders/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является уполномоченным  лицом по охране труда профессионального союза</w:t>
            </w:r>
          </w:p>
        </w:tc>
      </w:tr>
      <w:tr>
        <w:trPr/>
        <w:tc>
          <w:tcPr>
            <w:tcW w:w="9914" w:type="dxa"/>
            <w:gridSpan w:val="7"/>
            <w:tcBorders>
              <w:bottom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914" w:type="dxa"/>
            <w:gridSpan w:val="7"/>
            <w:tcBorders>
              <w:top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914" w:type="dxa"/>
            <w:gridSpan w:val="7"/>
            <w:tcBorders>
              <w:bottom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914" w:type="dxa"/>
            <w:gridSpan w:val="7"/>
            <w:tcBorders>
              <w:top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должности, Ф.И.О. и подпись руководителя профсоюзного органа, выдавшего удостоверение)</w:t>
            </w:r>
          </w:p>
        </w:tc>
      </w:tr>
      <w:tr>
        <w:trPr>
          <w:trHeight w:val="15" w:hRule="exact"/>
        </w:trPr>
        <w:tc>
          <w:tcPr>
            <w:tcW w:w="39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"/>
                <w:szCs w:val="24"/>
                <w:lang w:eastAsia="ru-RU"/>
              </w:rPr>
            </w:r>
          </w:p>
        </w:tc>
        <w:tc>
          <w:tcPr>
            <w:tcW w:w="52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"/>
                <w:szCs w:val="24"/>
                <w:lang w:eastAsia="ru-RU"/>
              </w:rPr>
            </w:r>
          </w:p>
        </w:tc>
        <w:tc>
          <w:tcPr>
            <w:tcW w:w="53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"/>
                <w:szCs w:val="24"/>
                <w:lang w:eastAsia="ru-RU"/>
              </w:rPr>
            </w:r>
          </w:p>
        </w:tc>
        <w:tc>
          <w:tcPr>
            <w:tcW w:w="131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"/>
                <w:szCs w:val="24"/>
                <w:lang w:eastAsia="ru-RU"/>
              </w:rPr>
            </w:r>
          </w:p>
        </w:tc>
        <w:tc>
          <w:tcPr>
            <w:tcW w:w="71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"/>
                <w:szCs w:val="24"/>
                <w:lang w:eastAsia="ru-RU"/>
              </w:rPr>
            </w:r>
          </w:p>
        </w:tc>
        <w:tc>
          <w:tcPr>
            <w:tcW w:w="3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"/>
                <w:szCs w:val="24"/>
                <w:lang w:eastAsia="ru-RU"/>
              </w:rPr>
            </w:r>
          </w:p>
        </w:tc>
        <w:tc>
          <w:tcPr>
            <w:tcW w:w="607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"/>
                <w:szCs w:val="24"/>
                <w:lang w:eastAsia="ru-RU"/>
              </w:rPr>
            </w:r>
          </w:p>
        </w:tc>
      </w:tr>
      <w:tr>
        <w:trPr/>
        <w:tc>
          <w:tcPr>
            <w:tcW w:w="395" w:type="dxa"/>
            <w:tcBorders/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520" w:type="dxa"/>
            <w:tcBorders>
              <w:bottom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31" w:type="dxa"/>
            <w:tcBorders/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316" w:type="dxa"/>
            <w:tcBorders>
              <w:bottom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12" w:type="dxa"/>
            <w:tcBorders/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1" w:type="dxa"/>
            <w:tcBorders>
              <w:bottom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079" w:type="dxa"/>
            <w:tcBorders/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года</w:t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ind w:firstLine="480"/>
        <w:textAlignment w:val="baseline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</w:r>
    </w:p>
    <w:tbl>
      <w:tblPr>
        <w:tblW w:w="969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552"/>
        <w:gridCol w:w="1260"/>
        <w:gridCol w:w="1431"/>
        <w:gridCol w:w="3146"/>
        <w:gridCol w:w="1134"/>
        <w:gridCol w:w="728"/>
        <w:gridCol w:w="357"/>
        <w:gridCol w:w="1081"/>
      </w:tblGrid>
      <w:tr>
        <w:trPr>
          <w:trHeight w:val="15" w:hRule="exact"/>
        </w:trPr>
        <w:tc>
          <w:tcPr>
            <w:tcW w:w="3243" w:type="dxa"/>
            <w:gridSpan w:val="3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"/>
                <w:szCs w:val="24"/>
                <w:lang w:eastAsia="ru-RU"/>
              </w:rPr>
            </w:r>
          </w:p>
        </w:tc>
        <w:tc>
          <w:tcPr>
            <w:tcW w:w="314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"/>
                <w:szCs w:val="24"/>
                <w:lang w:eastAsia="ru-RU"/>
              </w:rPr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"/>
                <w:szCs w:val="24"/>
                <w:lang w:eastAsia="ru-RU"/>
              </w:rPr>
            </w:r>
          </w:p>
        </w:tc>
        <w:tc>
          <w:tcPr>
            <w:tcW w:w="72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"/>
                <w:szCs w:val="24"/>
                <w:lang w:eastAsia="ru-RU"/>
              </w:rPr>
            </w:r>
          </w:p>
        </w:tc>
        <w:tc>
          <w:tcPr>
            <w:tcW w:w="35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"/>
                <w:szCs w:val="24"/>
                <w:lang w:eastAsia="ru-RU"/>
              </w:rPr>
            </w:r>
          </w:p>
        </w:tc>
        <w:tc>
          <w:tcPr>
            <w:tcW w:w="108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"/>
                <w:szCs w:val="24"/>
                <w:lang w:eastAsia="ru-RU"/>
              </w:rPr>
            </w:r>
          </w:p>
        </w:tc>
      </w:tr>
      <w:tr>
        <w:trPr/>
        <w:tc>
          <w:tcPr>
            <w:tcW w:w="9689" w:type="dxa"/>
            <w:gridSpan w:val="8"/>
            <w:tcBorders/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jc w:val="righ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ВНУТРЕННЯЯ СТОРОНА, ПРАВАЯ СТОРОНА</w:t>
            </w:r>
          </w:p>
        </w:tc>
      </w:tr>
      <w:tr>
        <w:trPr/>
        <w:tc>
          <w:tcPr>
            <w:tcW w:w="3243" w:type="dxa"/>
            <w:gridSpan w:val="3"/>
            <w:tcBorders/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Фото</w:t>
            </w:r>
          </w:p>
        </w:tc>
        <w:tc>
          <w:tcPr>
            <w:tcW w:w="3146" w:type="dxa"/>
            <w:tcBorders/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300" w:type="dxa"/>
            <w:gridSpan w:val="4"/>
            <w:tcBorders>
              <w:bottom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243" w:type="dxa"/>
            <w:gridSpan w:val="3"/>
            <w:tcBorders/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146" w:type="dxa"/>
            <w:tcBorders/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300" w:type="dxa"/>
            <w:gridSpan w:val="4"/>
            <w:tcBorders>
              <w:top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(личная подпись)</w:t>
            </w:r>
          </w:p>
        </w:tc>
      </w:tr>
      <w:tr>
        <w:trPr/>
        <w:tc>
          <w:tcPr>
            <w:tcW w:w="3243" w:type="dxa"/>
            <w:gridSpan w:val="3"/>
            <w:tcBorders/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146" w:type="dxa"/>
            <w:tcBorders/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300" w:type="dxa"/>
            <w:gridSpan w:val="4"/>
            <w:tcBorders/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Действителен до:</w:t>
            </w:r>
          </w:p>
        </w:tc>
      </w:tr>
      <w:tr>
        <w:trPr/>
        <w:tc>
          <w:tcPr>
            <w:tcW w:w="3243" w:type="dxa"/>
            <w:gridSpan w:val="3"/>
            <w:tcBorders/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Печать</w:t>
            </w:r>
          </w:p>
        </w:tc>
        <w:tc>
          <w:tcPr>
            <w:tcW w:w="3146" w:type="dxa"/>
            <w:tcBorders/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28" w:type="dxa"/>
            <w:tcBorders/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57" w:type="dxa"/>
            <w:tcBorders>
              <w:bottom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81" w:type="dxa"/>
            <w:tcBorders/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года</w:t>
            </w:r>
          </w:p>
        </w:tc>
      </w:tr>
      <w:tr>
        <w:trPr>
          <w:trHeight w:val="15" w:hRule="exact"/>
        </w:trPr>
        <w:tc>
          <w:tcPr>
            <w:tcW w:w="55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"/>
                <w:szCs w:val="24"/>
                <w:lang w:eastAsia="ru-RU"/>
              </w:rPr>
            </w:r>
          </w:p>
        </w:tc>
        <w:tc>
          <w:tcPr>
            <w:tcW w:w="126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"/>
                <w:szCs w:val="24"/>
                <w:lang w:eastAsia="ru-RU"/>
              </w:rPr>
            </w:r>
          </w:p>
        </w:tc>
        <w:tc>
          <w:tcPr>
            <w:tcW w:w="7877" w:type="dxa"/>
            <w:gridSpan w:val="6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"/>
                <w:szCs w:val="24"/>
                <w:lang w:eastAsia="ru-RU"/>
              </w:rPr>
            </w:r>
          </w:p>
        </w:tc>
      </w:tr>
      <w:tr>
        <w:trPr/>
        <w:tc>
          <w:tcPr>
            <w:tcW w:w="9689" w:type="dxa"/>
            <w:gridSpan w:val="8"/>
            <w:tcBorders/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Предъявитель удостоверения имеет право проверять состояние охраны труда</w:t>
            </w:r>
          </w:p>
        </w:tc>
      </w:tr>
      <w:tr>
        <w:trPr/>
        <w:tc>
          <w:tcPr>
            <w:tcW w:w="552" w:type="dxa"/>
            <w:tcBorders/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137" w:type="dxa"/>
            <w:gridSpan w:val="7"/>
            <w:tcBorders>
              <w:bottom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firstLine="48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МАДОУ Центр развития ребенка — детский сад № 10 «Ляйсан» г.Дюртюли</w:t>
            </w:r>
          </w:p>
        </w:tc>
      </w:tr>
      <w:tr>
        <w:trPr/>
        <w:tc>
          <w:tcPr>
            <w:tcW w:w="552" w:type="dxa"/>
            <w:tcBorders/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137" w:type="dxa"/>
            <w:gridSpan w:val="7"/>
            <w:tcBorders>
              <w:top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(наименование подразделения)</w:t>
            </w:r>
          </w:p>
        </w:tc>
      </w:tr>
      <w:tr>
        <w:trPr/>
        <w:tc>
          <w:tcPr>
            <w:tcW w:w="9689" w:type="dxa"/>
            <w:gridSpan w:val="8"/>
            <w:tcBorders/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 выдавать обязательные к рассмотрению предложения об устранении выявленных нарушений требований охраны труда</w:t>
            </w:r>
          </w:p>
        </w:tc>
      </w:tr>
      <w:tr>
        <w:trPr/>
        <w:tc>
          <w:tcPr>
            <w:tcW w:w="9689" w:type="dxa"/>
            <w:gridSpan w:val="8"/>
            <w:tcBorders>
              <w:bottom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812" w:type="dxa"/>
            <w:gridSpan w:val="2"/>
            <w:tcBorders>
              <w:top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Примечания:</w:t>
            </w:r>
          </w:p>
        </w:tc>
        <w:tc>
          <w:tcPr>
            <w:tcW w:w="7877" w:type="dxa"/>
            <w:gridSpan w:val="6"/>
            <w:tcBorders>
              <w:top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 Рекомендуемый размер удостоверения в сложенном виде 90 х 65 мм.</w:t>
            </w:r>
          </w:p>
        </w:tc>
      </w:tr>
      <w:tr>
        <w:trPr/>
        <w:tc>
          <w:tcPr>
            <w:tcW w:w="1812" w:type="dxa"/>
            <w:gridSpan w:val="2"/>
            <w:tcBorders/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877" w:type="dxa"/>
            <w:gridSpan w:val="6"/>
            <w:tcBorders/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 Размер фотокарточки 3 x 4 с уголком для печати.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textAlignment w:val="baseline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textAlignment w:val="baseline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textAlignment w:val="baseline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textAlignment w:val="baseline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textAlignment w:val="baseline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textAlignment w:val="baseline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150"/>
        <w:jc w:val="right"/>
        <w:rPr>
          <w:i w:val="false"/>
          <w:i w:val="false"/>
          <w:iCs w:val="false"/>
        </w:rPr>
      </w:pPr>
      <w:r>
        <w:rPr>
          <w:rFonts w:eastAsia="" w:cs="Times New Roman" w:ascii="Times New Roman" w:hAnsi="Times New Roman" w:eastAsiaTheme="minorEastAsia"/>
          <w:i w:val="false"/>
          <w:iCs w:val="false"/>
          <w:sz w:val="24"/>
          <w:szCs w:val="24"/>
          <w:lang w:eastAsia="ru-RU"/>
        </w:rPr>
        <w:t>Приложение № 2</w:t>
      </w:r>
    </w:p>
    <w:p>
      <w:pPr>
        <w:pStyle w:val="Normal"/>
        <w:widowControl w:val="false"/>
        <w:spacing w:lineRule="auto" w:line="240" w:before="0" w:after="0"/>
        <w:jc w:val="right"/>
        <w:rPr>
          <w:i w:val="false"/>
          <w:i w:val="false"/>
          <w:iCs w:val="false"/>
        </w:rPr>
      </w:pPr>
      <w:r>
        <w:rPr>
          <w:rFonts w:eastAsia="" w:cs="Times New Roman" w:ascii="Times New Roman" w:hAnsi="Times New Roman" w:eastAsiaTheme="minorEastAsia"/>
          <w:i w:val="false"/>
          <w:iCs w:val="false"/>
          <w:sz w:val="24"/>
          <w:szCs w:val="24"/>
          <w:lang w:eastAsia="ru-RU"/>
        </w:rPr>
        <w:t xml:space="preserve">к Положению об уполномоченном лице по охране труда профессионального союза муниципального автономного дошкольного образовательного учреждения Центр развития ребенка – детский сад №10 «Ляйсан» города Дюртюли муниципального района </w:t>
      </w:r>
    </w:p>
    <w:p>
      <w:pPr>
        <w:pStyle w:val="Normal"/>
        <w:widowControl w:val="false"/>
        <w:spacing w:lineRule="auto" w:line="240" w:before="0" w:after="0"/>
        <w:jc w:val="right"/>
        <w:rPr>
          <w:i w:val="false"/>
          <w:i w:val="false"/>
          <w:iCs w:val="false"/>
        </w:rPr>
      </w:pPr>
      <w:r>
        <w:rPr>
          <w:rFonts w:eastAsia="" w:cs="Times New Roman" w:ascii="Times New Roman" w:hAnsi="Times New Roman" w:eastAsiaTheme="minorEastAsia"/>
          <w:i w:val="false"/>
          <w:iCs w:val="false"/>
          <w:sz w:val="24"/>
          <w:szCs w:val="24"/>
          <w:lang w:eastAsia="ru-RU"/>
        </w:rPr>
        <w:t>Дюртюлинский район Республики Башкортостан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</w:r>
      <w:bookmarkStart w:id="1" w:name="_GoBack"/>
      <w:bookmarkStart w:id="2" w:name="_GoBack"/>
      <w:bookmarkEnd w:id="2"/>
    </w:p>
    <w:p>
      <w:pPr>
        <w:pStyle w:val="Normal"/>
        <w:spacing w:lineRule="auto" w:line="240" w:before="0" w:after="12"/>
        <w:jc w:val="center"/>
        <w:textAlignment w:val="baseline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ОБЩЕРОССИЙСКИЙ ПРОФСОЮЗ ОБРАЗОВАНИЯ УПОЛНОМОЧЕННЫЙ ПО ОХРАНЕ ТРУДА ПРОФСОЮЗНОЙ ОРГАНИЗАЦИИ</w:t>
      </w:r>
    </w:p>
    <w:p>
      <w:pPr>
        <w:pStyle w:val="Normal"/>
        <w:spacing w:lineRule="auto" w:line="240" w:before="0" w:after="0"/>
        <w:ind w:firstLine="480"/>
        <w:jc w:val="center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МАДОУ Центр развития ребенка — детский сад № 10 «Ляйсан» г.Дюртюли</w:t>
      </w:r>
    </w:p>
    <w:tbl>
      <w:tblPr>
        <w:tblW w:w="9355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9355"/>
      </w:tblGrid>
      <w:tr>
        <w:trPr>
          <w:trHeight w:val="15" w:hRule="exact"/>
        </w:trPr>
        <w:tc>
          <w:tcPr>
            <w:tcW w:w="935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"/>
                <w:szCs w:val="24"/>
                <w:lang w:eastAsia="ru-RU"/>
              </w:rPr>
            </w:r>
          </w:p>
        </w:tc>
      </w:tr>
      <w:tr>
        <w:trPr/>
        <w:tc>
          <w:tcPr>
            <w:tcW w:w="9355" w:type="dxa"/>
            <w:tcBorders>
              <w:top w:val="single" w:sz="6" w:space="0" w:color="000000"/>
            </w:tcBorders>
            <w:shd w:color="auto" w:fill="auto" w:val="clear"/>
            <w:tcMar>
              <w:left w:w="74" w:type="dxa"/>
              <w:right w:w="74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(наименование организации профсоюза)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  <w:t>452320 г.Дюртюли, ул.Назара Наджми, д.36/1</w:t>
        <w:br/>
        <w:t xml:space="preserve">Тел.: 8(34787)2-16-70, эл. почта: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Detski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sadLaisan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2011@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yandex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ru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сайт: dslaisan.02edu.ru</w:t>
      </w:r>
    </w:p>
    <w:p>
      <w:pPr>
        <w:pStyle w:val="Normal"/>
        <w:spacing w:lineRule="auto" w:line="240" w:before="0" w:after="0"/>
        <w:jc w:val="center"/>
        <w:textAlignment w:val="baseline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  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ПРЕДСТАВЛЕНИЕ № ______ от "___" __________20   ____ г.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об устранении выявленных нарушений законодательства об охране труда, страхования от несчастных случаев на производстве и профессиональных заболеваний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1069"/>
        <w:gridCol w:w="3444"/>
        <w:gridCol w:w="1680"/>
        <w:gridCol w:w="3161"/>
      </w:tblGrid>
      <w:tr>
        <w:trPr>
          <w:trHeight w:val="15" w:hRule="exact"/>
        </w:trPr>
        <w:tc>
          <w:tcPr>
            <w:tcW w:w="106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"/>
                <w:szCs w:val="24"/>
                <w:lang w:eastAsia="ru-RU"/>
              </w:rPr>
            </w:r>
          </w:p>
        </w:tc>
        <w:tc>
          <w:tcPr>
            <w:tcW w:w="344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"/>
                <w:szCs w:val="24"/>
                <w:lang w:eastAsia="ru-RU"/>
              </w:rPr>
            </w:r>
          </w:p>
        </w:tc>
        <w:tc>
          <w:tcPr>
            <w:tcW w:w="168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"/>
                <w:szCs w:val="24"/>
                <w:lang w:eastAsia="ru-RU"/>
              </w:rPr>
            </w:r>
          </w:p>
        </w:tc>
        <w:tc>
          <w:tcPr>
            <w:tcW w:w="31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"/>
                <w:szCs w:val="24"/>
                <w:lang w:eastAsia="ru-RU"/>
              </w:rPr>
            </w:r>
          </w:p>
        </w:tc>
      </w:tr>
      <w:tr>
        <w:trPr/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Кому</w:t>
            </w:r>
          </w:p>
        </w:tc>
        <w:tc>
          <w:tcPr>
            <w:tcW w:w="82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2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ru-RU"/>
              </w:rPr>
              <w:t>(должность, название организации, фамилия, имя, отчество)</w:t>
            </w:r>
          </w:p>
        </w:tc>
      </w:tr>
      <w:tr>
        <w:trPr/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E-mail:</w:t>
            </w:r>
          </w:p>
        </w:tc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82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Председателю профсоюзного комитета организации</w:t>
            </w:r>
          </w:p>
        </w:tc>
      </w:tr>
      <w:tr>
        <w:trPr/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2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2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ru-RU"/>
              </w:rPr>
              <w:t>(фамилия, имя, отчество)</w:t>
            </w:r>
          </w:p>
        </w:tc>
      </w:tr>
      <w:tr>
        <w:trPr/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E-mail:</w:t>
            </w:r>
          </w:p>
        </w:tc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firstLine="480"/>
        <w:jc w:val="both"/>
        <w:textAlignment w:val="baseline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соответствии со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 </w:t>
      </w:r>
      <w:r>
        <w:fldChar w:fldCharType="begin"/>
      </w:r>
      <w:r>
        <w:rPr>
          <w:rStyle w:val="ListLabel1"/>
          <w:sz w:val="24"/>
          <w:u w:val="none"/>
          <w:szCs w:val="24"/>
          <w:rFonts w:eastAsia="Times New Roman" w:cs="Times New Roman" w:ascii="Times New Roman" w:hAnsi="Times New Roman"/>
          <w:color w:val="000000"/>
          <w:lang w:eastAsia="ru-RU"/>
        </w:rPr>
        <w:instrText xml:space="preserve"> HYPERLINK "https://docs.cntd.ru/document/9004937" \l "7EK0KJ"</w:instrText>
      </w:r>
      <w:r>
        <w:rPr>
          <w:rStyle w:val="ListLabel1"/>
          <w:sz w:val="24"/>
          <w:u w:val="none"/>
          <w:szCs w:val="24"/>
          <w:rFonts w:eastAsia="Times New Roman" w:cs="Times New Roman" w:ascii="Times New Roman" w:hAnsi="Times New Roman"/>
          <w:color w:val="000000"/>
          <w:lang w:eastAsia="ru-RU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статьей 30 Конституции РФ</w:t>
      </w:r>
      <w:r>
        <w:rPr>
          <w:rStyle w:val="ListLabel1"/>
          <w:sz w:val="24"/>
          <w:u w:val="none"/>
          <w:szCs w:val="24"/>
          <w:rFonts w:eastAsia="Times New Roman" w:cs="Times New Roman" w:ascii="Times New Roman" w:hAnsi="Times New Roman"/>
          <w:color w:val="000000"/>
          <w:lang w:eastAsia="ru-RU"/>
        </w:rPr>
        <w:fldChar w:fldCharType="end"/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, </w:t>
      </w:r>
      <w:r>
        <w:fldChar w:fldCharType="begin"/>
      </w:r>
      <w:r>
        <w:rPr>
          <w:rStyle w:val="ListLabel1"/>
          <w:sz w:val="24"/>
          <w:u w:val="none"/>
          <w:szCs w:val="24"/>
          <w:rFonts w:eastAsia="Times New Roman" w:cs="Times New Roman" w:ascii="Times New Roman" w:hAnsi="Times New Roman"/>
          <w:color w:val="000000"/>
          <w:lang w:eastAsia="ru-RU"/>
        </w:rPr>
        <w:instrText xml:space="preserve"> HYPERLINK "https://docs.cntd.ru/document/901807664" \l "6560IO"</w:instrText>
      </w:r>
      <w:r>
        <w:rPr>
          <w:rStyle w:val="ListLabel1"/>
          <w:sz w:val="24"/>
          <w:u w:val="none"/>
          <w:szCs w:val="24"/>
          <w:rFonts w:eastAsia="Times New Roman" w:cs="Times New Roman" w:ascii="Times New Roman" w:hAnsi="Times New Roman"/>
          <w:color w:val="000000"/>
          <w:lang w:eastAsia="ru-RU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статьями 1</w:t>
      </w:r>
      <w:r>
        <w:rPr>
          <w:rStyle w:val="ListLabel1"/>
          <w:sz w:val="24"/>
          <w:u w:val="none"/>
          <w:szCs w:val="24"/>
          <w:rFonts w:eastAsia="Times New Roman" w:cs="Times New Roman" w:ascii="Times New Roman" w:hAnsi="Times New Roman"/>
          <w:color w:val="000000"/>
          <w:lang w:eastAsia="ru-RU"/>
        </w:rPr>
        <w:fldChar w:fldCharType="end"/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, </w:t>
      </w:r>
      <w:r>
        <w:fldChar w:fldCharType="begin"/>
      </w:r>
      <w:r>
        <w:rPr>
          <w:rStyle w:val="ListLabel1"/>
          <w:sz w:val="24"/>
          <w:u w:val="none"/>
          <w:szCs w:val="24"/>
          <w:rFonts w:eastAsia="Times New Roman" w:cs="Times New Roman" w:ascii="Times New Roman" w:hAnsi="Times New Roman"/>
          <w:color w:val="000000"/>
          <w:lang w:eastAsia="ru-RU"/>
        </w:rPr>
        <w:instrText xml:space="preserve"> HYPERLINK "https://docs.cntd.ru/document/901807664" \l "7DU0KE"</w:instrText>
      </w:r>
      <w:r>
        <w:rPr>
          <w:rStyle w:val="ListLabel1"/>
          <w:sz w:val="24"/>
          <w:u w:val="none"/>
          <w:szCs w:val="24"/>
          <w:rFonts w:eastAsia="Times New Roman" w:cs="Times New Roman" w:ascii="Times New Roman" w:hAnsi="Times New Roman"/>
          <w:color w:val="000000"/>
          <w:lang w:eastAsia="ru-RU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29</w:t>
      </w:r>
      <w:r>
        <w:rPr>
          <w:rStyle w:val="ListLabel1"/>
          <w:sz w:val="24"/>
          <w:u w:val="none"/>
          <w:szCs w:val="24"/>
          <w:rFonts w:eastAsia="Times New Roman" w:cs="Times New Roman" w:ascii="Times New Roman" w:hAnsi="Times New Roman"/>
          <w:color w:val="000000"/>
          <w:lang w:eastAsia="ru-RU"/>
        </w:rPr>
        <w:fldChar w:fldCharType="end"/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, </w:t>
      </w:r>
      <w:r>
        <w:fldChar w:fldCharType="begin"/>
      </w:r>
      <w:r>
        <w:rPr>
          <w:rStyle w:val="ListLabel1"/>
          <w:sz w:val="24"/>
          <w:u w:val="none"/>
          <w:szCs w:val="24"/>
          <w:rFonts w:eastAsia="Times New Roman" w:cs="Times New Roman" w:ascii="Times New Roman" w:hAnsi="Times New Roman"/>
          <w:color w:val="000000"/>
          <w:lang w:eastAsia="ru-RU"/>
        </w:rPr>
        <w:instrText xml:space="preserve"> HYPERLINK "https://docs.cntd.ru/document/901807664" \l "A8E0NM"</w:instrText>
      </w:r>
      <w:r>
        <w:rPr>
          <w:rStyle w:val="ListLabel1"/>
          <w:sz w:val="24"/>
          <w:u w:val="none"/>
          <w:szCs w:val="24"/>
          <w:rFonts w:eastAsia="Times New Roman" w:cs="Times New Roman" w:ascii="Times New Roman" w:hAnsi="Times New Roman"/>
          <w:color w:val="000000"/>
          <w:lang w:eastAsia="ru-RU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352</w:t>
      </w:r>
      <w:r>
        <w:rPr>
          <w:rStyle w:val="ListLabel1"/>
          <w:sz w:val="24"/>
          <w:u w:val="none"/>
          <w:szCs w:val="24"/>
          <w:rFonts w:eastAsia="Times New Roman" w:cs="Times New Roman" w:ascii="Times New Roman" w:hAnsi="Times New Roman"/>
          <w:color w:val="000000"/>
          <w:lang w:eastAsia="ru-RU"/>
        </w:rPr>
        <w:fldChar w:fldCharType="end"/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, </w:t>
      </w:r>
      <w:r>
        <w:fldChar w:fldCharType="begin"/>
      </w:r>
      <w:r>
        <w:rPr>
          <w:rStyle w:val="ListLabel1"/>
          <w:sz w:val="24"/>
          <w:u w:val="none"/>
          <w:szCs w:val="24"/>
          <w:rFonts w:eastAsia="Times New Roman" w:cs="Times New Roman" w:ascii="Times New Roman" w:hAnsi="Times New Roman"/>
          <w:color w:val="000000"/>
          <w:lang w:eastAsia="ru-RU"/>
        </w:rPr>
        <w:instrText xml:space="preserve"> HYPERLINK "https://docs.cntd.ru/document/901807664" \l "A9E0NQ"</w:instrText>
      </w:r>
      <w:r>
        <w:rPr>
          <w:rStyle w:val="ListLabel1"/>
          <w:sz w:val="24"/>
          <w:u w:val="none"/>
          <w:szCs w:val="24"/>
          <w:rFonts w:eastAsia="Times New Roman" w:cs="Times New Roman" w:ascii="Times New Roman" w:hAnsi="Times New Roman"/>
          <w:color w:val="000000"/>
          <w:lang w:eastAsia="ru-RU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370 Трудового Кодекса РФ</w:t>
      </w:r>
      <w:r>
        <w:rPr>
          <w:rStyle w:val="ListLabel1"/>
          <w:sz w:val="24"/>
          <w:u w:val="none"/>
          <w:szCs w:val="24"/>
          <w:rFonts w:eastAsia="Times New Roman" w:cs="Times New Roman" w:ascii="Times New Roman" w:hAnsi="Times New Roman"/>
          <w:color w:val="000000"/>
          <w:lang w:eastAsia="ru-RU"/>
        </w:rPr>
        <w:fldChar w:fldCharType="end"/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, </w:t>
      </w:r>
      <w:r>
        <w:fldChar w:fldCharType="begin"/>
      </w:r>
      <w:r>
        <w:rPr>
          <w:rStyle w:val="ListLabel1"/>
          <w:sz w:val="24"/>
          <w:u w:val="none"/>
          <w:szCs w:val="24"/>
          <w:rFonts w:eastAsia="Times New Roman" w:cs="Times New Roman" w:ascii="Times New Roman" w:hAnsi="Times New Roman"/>
          <w:color w:val="000000"/>
          <w:lang w:eastAsia="ru-RU"/>
        </w:rPr>
        <w:instrText xml:space="preserve"> HYPERLINK "https://docs.cntd.ru/document/9015224" \l "7EC0KI"</w:instrText>
      </w:r>
      <w:r>
        <w:rPr>
          <w:rStyle w:val="ListLabel1"/>
          <w:sz w:val="24"/>
          <w:u w:val="none"/>
          <w:szCs w:val="24"/>
          <w:rFonts w:eastAsia="Times New Roman" w:cs="Times New Roman" w:ascii="Times New Roman" w:hAnsi="Times New Roman"/>
          <w:color w:val="000000"/>
          <w:lang w:eastAsia="ru-RU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статьями 19</w:t>
      </w:r>
      <w:r>
        <w:rPr>
          <w:rStyle w:val="ListLabel1"/>
          <w:sz w:val="24"/>
          <w:u w:val="none"/>
          <w:szCs w:val="24"/>
          <w:rFonts w:eastAsia="Times New Roman" w:cs="Times New Roman" w:ascii="Times New Roman" w:hAnsi="Times New Roman"/>
          <w:color w:val="000000"/>
          <w:lang w:eastAsia="ru-RU"/>
        </w:rPr>
        <w:fldChar w:fldCharType="end"/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, </w:t>
      </w:r>
      <w:r>
        <w:fldChar w:fldCharType="begin"/>
      </w:r>
      <w:r>
        <w:rPr>
          <w:rStyle w:val="ListLabel1"/>
          <w:sz w:val="24"/>
          <w:u w:val="none"/>
          <w:szCs w:val="24"/>
          <w:rFonts w:eastAsia="Times New Roman" w:cs="Times New Roman" w:ascii="Times New Roman" w:hAnsi="Times New Roman"/>
          <w:color w:val="000000"/>
          <w:lang w:eastAsia="ru-RU"/>
        </w:rPr>
        <w:instrText xml:space="preserve"> HYPERLINK "https://docs.cntd.ru/document/9015224" \l "8OO0LN"</w:instrText>
      </w:r>
      <w:r>
        <w:rPr>
          <w:rStyle w:val="ListLabel1"/>
          <w:sz w:val="24"/>
          <w:u w:val="none"/>
          <w:szCs w:val="24"/>
          <w:rFonts w:eastAsia="Times New Roman" w:cs="Times New Roman" w:ascii="Times New Roman" w:hAnsi="Times New Roman"/>
          <w:color w:val="000000"/>
          <w:lang w:eastAsia="ru-RU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20 Федерального закона "О профессиональных союзах, их правах и гарантиях деятельности"</w:t>
      </w:r>
      <w:r>
        <w:rPr>
          <w:rStyle w:val="ListLabel1"/>
          <w:sz w:val="24"/>
          <w:u w:val="none"/>
          <w:szCs w:val="24"/>
          <w:rFonts w:eastAsia="Times New Roman" w:cs="Times New Roman" w:ascii="Times New Roman" w:hAnsi="Times New Roman"/>
          <w:color w:val="000000"/>
          <w:lang w:eastAsia="ru-RU"/>
        </w:rPr>
        <w:fldChar w:fldCharType="end"/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, </w:t>
      </w:r>
      <w:r>
        <w:fldChar w:fldCharType="begin"/>
      </w:r>
      <w:r>
        <w:rPr>
          <w:rStyle w:val="ListLabel1"/>
          <w:sz w:val="24"/>
          <w:u w:val="none"/>
          <w:szCs w:val="24"/>
          <w:rFonts w:eastAsia="Times New Roman" w:cs="Times New Roman" w:ascii="Times New Roman" w:hAnsi="Times New Roman"/>
          <w:color w:val="000000"/>
          <w:lang w:eastAsia="ru-RU"/>
        </w:rPr>
        <w:instrText xml:space="preserve"> HYPERLINK "https://docs.cntd.ru/document/901713539" \l "8OI0LL"</w:instrText>
      </w:r>
      <w:r>
        <w:rPr>
          <w:rStyle w:val="ListLabel1"/>
          <w:sz w:val="24"/>
          <w:u w:val="none"/>
          <w:szCs w:val="24"/>
          <w:rFonts w:eastAsia="Times New Roman" w:cs="Times New Roman" w:ascii="Times New Roman" w:hAnsi="Times New Roman"/>
          <w:color w:val="000000"/>
          <w:lang w:eastAsia="ru-RU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статьей 26 Федерального закона "Об обязательном социальном страховании от несчастных случаев на производстве и профессиональных заболеваний"</w:t>
      </w:r>
      <w:r>
        <w:rPr>
          <w:rStyle w:val="ListLabel1"/>
          <w:sz w:val="24"/>
          <w:u w:val="none"/>
          <w:szCs w:val="24"/>
          <w:rFonts w:eastAsia="Times New Roman" w:cs="Times New Roman" w:ascii="Times New Roman" w:hAnsi="Times New Roman"/>
          <w:color w:val="000000"/>
          <w:lang w:eastAsia="ru-RU"/>
        </w:rPr>
        <w:fldChar w:fldCharType="end"/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ПРЕДЛАГАЮ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устранить следующие нарушения: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975"/>
        <w:gridCol w:w="5421"/>
        <w:gridCol w:w="2959"/>
      </w:tblGrid>
      <w:tr>
        <w:trPr>
          <w:trHeight w:val="15" w:hRule="exact"/>
        </w:trPr>
        <w:tc>
          <w:tcPr>
            <w:tcW w:w="97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"/>
                <w:szCs w:val="24"/>
                <w:lang w:eastAsia="ru-RU"/>
              </w:rPr>
            </w:r>
          </w:p>
        </w:tc>
        <w:tc>
          <w:tcPr>
            <w:tcW w:w="542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"/>
                <w:szCs w:val="24"/>
                <w:lang w:eastAsia="ru-RU"/>
              </w:rPr>
            </w:r>
          </w:p>
        </w:tc>
        <w:tc>
          <w:tcPr>
            <w:tcW w:w="295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"/>
                <w:szCs w:val="24"/>
                <w:lang w:eastAsia="ru-RU"/>
              </w:rPr>
            </w:r>
          </w:p>
        </w:tc>
      </w:tr>
      <w:tr>
        <w:trPr/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Перечень выявленных нарушений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Сроки устранения</w:t>
            </w:r>
          </w:p>
        </w:tc>
      </w:tr>
      <w:tr>
        <w:trPr/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hanging="0"/>
        <w:textAlignment w:val="baseline"/>
        <w:rPr/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ab/>
        <w:t>Работодатели обязаны в недельный срок со дня получения требования об устранении выявленных нарушений сообщить в соответствующий профсоюзный орган о результатах рассмотрения данного требования и принятых мерах.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924"/>
        <w:gridCol w:w="1324"/>
        <w:gridCol w:w="298"/>
        <w:gridCol w:w="295"/>
        <w:gridCol w:w="895"/>
        <w:gridCol w:w="173"/>
        <w:gridCol w:w="370"/>
        <w:gridCol w:w="1184"/>
        <w:gridCol w:w="275"/>
        <w:gridCol w:w="3616"/>
      </w:tblGrid>
      <w:tr>
        <w:trPr>
          <w:trHeight w:val="15" w:hRule="exact"/>
        </w:trPr>
        <w:tc>
          <w:tcPr>
            <w:tcW w:w="92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444444"/>
                <w:sz w:val="2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444444"/>
                <w:sz w:val="2"/>
                <w:szCs w:val="24"/>
                <w:lang w:eastAsia="ru-RU"/>
              </w:rPr>
            </w:r>
          </w:p>
        </w:tc>
        <w:tc>
          <w:tcPr>
            <w:tcW w:w="132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444444"/>
                <w:sz w:val="2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444444"/>
                <w:sz w:val="2"/>
                <w:szCs w:val="24"/>
                <w:lang w:eastAsia="ru-RU"/>
              </w:rPr>
            </w:r>
          </w:p>
        </w:tc>
        <w:tc>
          <w:tcPr>
            <w:tcW w:w="29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444444"/>
                <w:sz w:val="2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444444"/>
                <w:sz w:val="2"/>
                <w:szCs w:val="24"/>
                <w:lang w:eastAsia="ru-RU"/>
              </w:rPr>
            </w:r>
          </w:p>
        </w:tc>
        <w:tc>
          <w:tcPr>
            <w:tcW w:w="29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444444"/>
                <w:sz w:val="2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444444"/>
                <w:sz w:val="2"/>
                <w:szCs w:val="24"/>
                <w:lang w:eastAsia="ru-RU"/>
              </w:rPr>
            </w:r>
          </w:p>
        </w:tc>
        <w:tc>
          <w:tcPr>
            <w:tcW w:w="89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444444"/>
                <w:sz w:val="2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444444"/>
                <w:sz w:val="2"/>
                <w:szCs w:val="24"/>
                <w:lang w:eastAsia="ru-RU"/>
              </w:rPr>
            </w:r>
          </w:p>
        </w:tc>
        <w:tc>
          <w:tcPr>
            <w:tcW w:w="17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444444"/>
                <w:sz w:val="2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444444"/>
                <w:sz w:val="2"/>
                <w:szCs w:val="24"/>
                <w:lang w:eastAsia="ru-RU"/>
              </w:rPr>
            </w:r>
          </w:p>
        </w:tc>
        <w:tc>
          <w:tcPr>
            <w:tcW w:w="37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444444"/>
                <w:sz w:val="2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444444"/>
                <w:sz w:val="2"/>
                <w:szCs w:val="24"/>
                <w:lang w:eastAsia="ru-RU"/>
              </w:rPr>
            </w:r>
          </w:p>
        </w:tc>
        <w:tc>
          <w:tcPr>
            <w:tcW w:w="118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444444"/>
                <w:sz w:val="2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444444"/>
                <w:sz w:val="2"/>
                <w:szCs w:val="24"/>
                <w:lang w:eastAsia="ru-RU"/>
              </w:rPr>
            </w:r>
          </w:p>
        </w:tc>
        <w:tc>
          <w:tcPr>
            <w:tcW w:w="27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444444"/>
                <w:sz w:val="2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444444"/>
                <w:sz w:val="2"/>
                <w:szCs w:val="24"/>
                <w:lang w:eastAsia="ru-RU"/>
              </w:rPr>
            </w:r>
          </w:p>
        </w:tc>
        <w:tc>
          <w:tcPr>
            <w:tcW w:w="361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444444"/>
                <w:sz w:val="2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444444"/>
                <w:sz w:val="2"/>
                <w:szCs w:val="24"/>
                <w:lang w:eastAsia="ru-RU"/>
              </w:rPr>
            </w:r>
          </w:p>
        </w:tc>
      </w:tr>
      <w:tr>
        <w:trPr/>
        <w:tc>
          <w:tcPr>
            <w:tcW w:w="3909" w:type="dxa"/>
            <w:gridSpan w:val="6"/>
            <w:tcBorders/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color w:val="444444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Times New Roman" w:hAnsi="Times New Roman"/>
                <w:color w:val="444444"/>
                <w:sz w:val="24"/>
                <w:szCs w:val="24"/>
                <w:lang w:eastAsia="ru-RU"/>
              </w:rPr>
              <w:t>Уполномоченный по охране труда</w:t>
            </w:r>
          </w:p>
        </w:tc>
        <w:tc>
          <w:tcPr>
            <w:tcW w:w="1554" w:type="dxa"/>
            <w:gridSpan w:val="2"/>
            <w:tcBorders>
              <w:bottom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Arial"/>
                <w:color w:val="444444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Times New Roman" w:hAnsi="Times New Roman"/>
                <w:color w:val="444444"/>
                <w:sz w:val="24"/>
                <w:szCs w:val="24"/>
                <w:lang w:eastAsia="ru-RU"/>
              </w:rPr>
            </w:r>
          </w:p>
        </w:tc>
        <w:tc>
          <w:tcPr>
            <w:tcW w:w="3891" w:type="dxa"/>
            <w:gridSpan w:val="2"/>
            <w:tcBorders>
              <w:bottom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Arial"/>
                <w:color w:val="444444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Times New Roman" w:hAnsi="Times New Roman"/>
                <w:color w:val="444444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909" w:type="dxa"/>
            <w:gridSpan w:val="6"/>
            <w:tcBorders/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Arial"/>
                <w:color w:val="444444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Times New Roman" w:hAnsi="Times New Roman"/>
                <w:color w:val="444444"/>
                <w:sz w:val="24"/>
                <w:szCs w:val="24"/>
                <w:lang w:eastAsia="ru-RU"/>
              </w:rPr>
            </w:r>
          </w:p>
        </w:tc>
        <w:tc>
          <w:tcPr>
            <w:tcW w:w="1554" w:type="dxa"/>
            <w:gridSpan w:val="2"/>
            <w:tcBorders>
              <w:top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Arial" w:hAnsi="Arial" w:eastAsia="Times New Roman" w:cs="Arial"/>
                <w:color w:val="444444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Times New Roman" w:hAnsi="Times New Roman"/>
                <w:color w:val="444444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891" w:type="dxa"/>
            <w:gridSpan w:val="2"/>
            <w:tcBorders>
              <w:top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Arial" w:hAnsi="Arial" w:eastAsia="Times New Roman" w:cs="Arial"/>
                <w:color w:val="444444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Times New Roman" w:hAnsi="Times New Roman"/>
                <w:color w:val="444444"/>
                <w:sz w:val="24"/>
                <w:szCs w:val="24"/>
                <w:lang w:eastAsia="ru-RU"/>
              </w:rPr>
              <w:t>(фамилия, имя, отчество)</w:t>
            </w:r>
          </w:p>
        </w:tc>
      </w:tr>
      <w:tr>
        <w:trPr/>
        <w:tc>
          <w:tcPr>
            <w:tcW w:w="2841" w:type="dxa"/>
            <w:gridSpan w:val="4"/>
            <w:tcBorders/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color w:val="444444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Times New Roman" w:hAnsi="Times New Roman"/>
                <w:color w:val="444444"/>
                <w:sz w:val="24"/>
                <w:szCs w:val="24"/>
                <w:lang w:eastAsia="ru-RU"/>
              </w:rPr>
              <w:t>Представление получил</w:t>
            </w:r>
          </w:p>
        </w:tc>
        <w:tc>
          <w:tcPr>
            <w:tcW w:w="1438" w:type="dxa"/>
            <w:gridSpan w:val="3"/>
            <w:tcBorders>
              <w:bottom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Arial"/>
                <w:color w:val="444444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Times New Roman" w:hAnsi="Times New Roman"/>
                <w:color w:val="444444"/>
                <w:sz w:val="24"/>
                <w:szCs w:val="24"/>
                <w:lang w:eastAsia="ru-RU"/>
              </w:rPr>
            </w:r>
          </w:p>
        </w:tc>
        <w:tc>
          <w:tcPr>
            <w:tcW w:w="5075" w:type="dxa"/>
            <w:gridSpan w:val="3"/>
            <w:tcBorders>
              <w:bottom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Arial"/>
                <w:color w:val="444444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Times New Roman" w:hAnsi="Times New Roman"/>
                <w:color w:val="444444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841" w:type="dxa"/>
            <w:gridSpan w:val="4"/>
            <w:tcBorders/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Arial"/>
                <w:color w:val="444444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Times New Roman" w:hAnsi="Times New Roman"/>
                <w:color w:val="444444"/>
                <w:sz w:val="24"/>
                <w:szCs w:val="24"/>
                <w:lang w:eastAsia="ru-RU"/>
              </w:rPr>
            </w:r>
          </w:p>
        </w:tc>
        <w:tc>
          <w:tcPr>
            <w:tcW w:w="1438" w:type="dxa"/>
            <w:gridSpan w:val="3"/>
            <w:tcBorders>
              <w:top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Arial" w:hAnsi="Arial" w:eastAsia="Times New Roman" w:cs="Arial"/>
                <w:color w:val="444444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Times New Roman" w:hAnsi="Times New Roman"/>
                <w:color w:val="444444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5075" w:type="dxa"/>
            <w:gridSpan w:val="3"/>
            <w:tcBorders>
              <w:top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Arial" w:hAnsi="Arial" w:eastAsia="Times New Roman" w:cs="Arial"/>
                <w:color w:val="444444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Times New Roman" w:hAnsi="Times New Roman"/>
                <w:color w:val="444444"/>
                <w:sz w:val="24"/>
                <w:szCs w:val="24"/>
                <w:lang w:eastAsia="ru-RU"/>
              </w:rPr>
              <w:t>(фамилия, имя, отчество, должность)</w:t>
            </w:r>
          </w:p>
        </w:tc>
      </w:tr>
      <w:tr>
        <w:trPr/>
        <w:tc>
          <w:tcPr>
            <w:tcW w:w="924" w:type="dxa"/>
            <w:tcBorders/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color w:val="444444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Times New Roman" w:hAnsi="Times New Roman"/>
                <w:color w:val="444444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22" w:type="dxa"/>
            <w:gridSpan w:val="2"/>
            <w:tcBorders>
              <w:bottom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Arial"/>
                <w:color w:val="444444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Times New Roman" w:hAnsi="Times New Roman"/>
                <w:color w:val="444444"/>
                <w:sz w:val="24"/>
                <w:szCs w:val="24"/>
                <w:lang w:eastAsia="ru-RU"/>
              </w:rPr>
            </w:r>
          </w:p>
        </w:tc>
        <w:tc>
          <w:tcPr>
            <w:tcW w:w="1190" w:type="dxa"/>
            <w:gridSpan w:val="2"/>
            <w:tcBorders/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color w:val="444444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Times New Roman" w:hAnsi="Times New Roman"/>
                <w:color w:val="444444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002" w:type="dxa"/>
            <w:gridSpan w:val="4"/>
            <w:tcBorders>
              <w:bottom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Arial"/>
                <w:color w:val="444444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Times New Roman" w:hAnsi="Times New Roman"/>
                <w:color w:val="444444"/>
                <w:sz w:val="24"/>
                <w:szCs w:val="24"/>
                <w:lang w:eastAsia="ru-RU"/>
              </w:rPr>
            </w:r>
          </w:p>
        </w:tc>
        <w:tc>
          <w:tcPr>
            <w:tcW w:w="3616" w:type="dxa"/>
            <w:tcBorders/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Arial"/>
                <w:color w:val="444444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Times New Roman" w:hAnsi="Times New Roman"/>
                <w:color w:val="444444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248" w:type="dxa"/>
            <w:gridSpan w:val="2"/>
            <w:tcBorders/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Arial"/>
                <w:color w:val="444444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Times New Roman" w:hAnsi="Times New Roman"/>
                <w:color w:val="444444"/>
                <w:sz w:val="24"/>
                <w:szCs w:val="24"/>
                <w:lang w:eastAsia="ru-RU"/>
              </w:rPr>
            </w:r>
          </w:p>
        </w:tc>
        <w:tc>
          <w:tcPr>
            <w:tcW w:w="7106" w:type="dxa"/>
            <w:gridSpan w:val="8"/>
            <w:tcBorders/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Arial"/>
                <w:color w:val="444444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Times New Roman" w:hAnsi="Times New Roman"/>
                <w:color w:val="444444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248" w:type="dxa"/>
            <w:gridSpan w:val="2"/>
            <w:tcBorders/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color w:val="444444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Times New Roman" w:hAnsi="Times New Roman"/>
                <w:color w:val="444444"/>
                <w:sz w:val="24"/>
                <w:szCs w:val="24"/>
                <w:lang w:eastAsia="ru-RU"/>
              </w:rPr>
              <w:t>Особые отметки:</w:t>
            </w:r>
          </w:p>
        </w:tc>
        <w:tc>
          <w:tcPr>
            <w:tcW w:w="7106" w:type="dxa"/>
            <w:gridSpan w:val="8"/>
            <w:tcBorders>
              <w:bottom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Arial"/>
                <w:color w:val="444444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Times New Roman" w:hAnsi="Times New Roman"/>
                <w:color w:val="444444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248" w:type="dxa"/>
            <w:gridSpan w:val="2"/>
            <w:tcBorders>
              <w:bottom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444444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444444"/>
                <w:sz w:val="24"/>
                <w:szCs w:val="24"/>
                <w:lang w:eastAsia="ru-RU"/>
              </w:rPr>
            </w:r>
          </w:p>
        </w:tc>
        <w:tc>
          <w:tcPr>
            <w:tcW w:w="7106" w:type="dxa"/>
            <w:gridSpan w:val="8"/>
            <w:tcBorders>
              <w:top w:val="single" w:sz="6" w:space="0" w:color="000000"/>
              <w:bottom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444444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444444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Arial" w:hAnsi="Arial" w:eastAsia="Times New Roman" w:cs="Arial"/>
          <w:sz w:val="24"/>
          <w:szCs w:val="24"/>
          <w:lang w:val="en-US" w:eastAsia="ru-RU"/>
        </w:rPr>
      </w:pPr>
      <w:r>
        <w:rPr>
          <w:rFonts w:eastAsia="Times New Roman" w:cs="Arial" w:ascii="Arial" w:hAnsi="Arial"/>
          <w:sz w:val="24"/>
          <w:szCs w:val="24"/>
          <w:lang w:val="en-US" w:eastAsia="ru-RU"/>
        </w:rPr>
      </w:r>
    </w:p>
    <w:p>
      <w:pPr>
        <w:pStyle w:val="Normal"/>
        <w:spacing w:lineRule="auto" w:line="240" w:before="0" w:after="0"/>
        <w:textAlignment w:val="baseline"/>
        <w:rPr>
          <w:rFonts w:ascii="Arial" w:hAnsi="Arial" w:eastAsia="Times New Roman" w:cs="Arial"/>
          <w:sz w:val="24"/>
          <w:szCs w:val="24"/>
          <w:lang w:val="en-US" w:eastAsia="ru-RU"/>
        </w:rPr>
      </w:pPr>
      <w:r>
        <w:rPr>
          <w:rFonts w:eastAsia="Times New Roman" w:cs="Arial" w:ascii="Arial" w:hAnsi="Arial"/>
          <w:sz w:val="24"/>
          <w:szCs w:val="24"/>
          <w:lang w:val="en-US" w:eastAsia="ru-RU"/>
        </w:rPr>
      </w:r>
    </w:p>
    <w:p>
      <w:pPr>
        <w:pStyle w:val="Normal"/>
        <w:spacing w:lineRule="auto" w:line="240" w:before="0" w:after="0"/>
        <w:textAlignment w:val="baseline"/>
        <w:rPr/>
      </w:pPr>
      <w:r>
        <w:rPr/>
      </w:r>
    </w:p>
    <w:sectPr>
      <w:type w:val="nextPage"/>
      <w:pgSz w:w="11906" w:h="16838"/>
      <w:pgMar w:left="1185" w:right="686" w:gutter="0" w:header="0" w:top="780" w:footer="0" w:bottom="7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280fc5"/>
    <w:rPr>
      <w:color w:themeColor="hyperlink" w:val="0000FF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ad067b"/>
    <w:rPr/>
  </w:style>
  <w:style w:type="character" w:styleId="Style15" w:customStyle="1">
    <w:name w:val="Нижний колонтитул Знак"/>
    <w:basedOn w:val="DefaultParagraphFont"/>
    <w:uiPriority w:val="99"/>
    <w:qFormat/>
    <w:rsid w:val="00ad067b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Times New Roman" w:hAnsi="Times New Roman" w:cs="Mangal"/>
    </w:rPr>
  </w:style>
  <w:style w:type="paragraph" w:styleId="Style18">
    <w:name w:val="Верхний и нижний колонтитулы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rsid w:val="00ad067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rsid w:val="00ad067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280fc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Application>LibreOffice/24.2.5.2$Linux_X86_64 LibreOffice_project/420$Build-2</Application>
  <AppVersion>15.0000</AppVersion>
  <DocSecurity>0</DocSecurity>
  <Pages>7</Pages>
  <Words>1625</Words>
  <Characters>12038</Characters>
  <CharactersWithSpaces>13573</CharactersWithSpaces>
  <Paragraphs>131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2022-03-15T09:15:00Z</dcterms:created>
  <dc:creator>садик-10 1</dc:creator>
  <dc:description/>
  <dc:language>ru-RU</dc:language>
  <cp:lastModifiedBy/>
  <cp:lastPrinted>2022-03-31T09:07:38Z</cp:lastPrinted>
  <dcterms:modified xsi:type="dcterms:W3CDTF">2025-07-29T08:28:17Z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